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4E" w:rsidRDefault="00A1307B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1307B" w:rsidRDefault="00A1307B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внутри техникумовской олимпиады профессионального мастерства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профильным направлениям:</w:t>
      </w:r>
    </w:p>
    <w:p w:rsidR="00A1307B" w:rsidRDefault="00A1307B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-13.02.07 Электроснабжение (по отраслям);</w:t>
      </w:r>
    </w:p>
    <w:p w:rsidR="00A1307B" w:rsidRDefault="00A1307B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-35.01.24 Управляющий сельской усадьбой;</w:t>
      </w:r>
    </w:p>
    <w:p w:rsidR="00A1307B" w:rsidRDefault="00A1307B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-35.02.07 Механизация сельского хозяйства;</w:t>
      </w:r>
    </w:p>
    <w:p w:rsidR="00A1307B" w:rsidRDefault="00A1307B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-35.02.12 Садово-парковое и ландшафтное строительство;</w:t>
      </w:r>
    </w:p>
    <w:p w:rsidR="00A1307B" w:rsidRDefault="00A1307B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- 35.02.08 Электрификация и автоматизация сельского хозяйства;</w:t>
      </w:r>
    </w:p>
    <w:p w:rsidR="00A1307B" w:rsidRDefault="00A1307B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- 38.02.05 Товароведение и экспертиза качества </w:t>
      </w:r>
      <w:r w:rsidR="00DC08D5">
        <w:rPr>
          <w:rFonts w:ascii="Times New Roman" w:hAnsi="Times New Roman" w:cs="Times New Roman"/>
          <w:sz w:val="28"/>
          <w:szCs w:val="28"/>
        </w:rPr>
        <w:t>потребительских товаров;</w:t>
      </w:r>
    </w:p>
    <w:p w:rsidR="00DC08D5" w:rsidRDefault="00DC08D5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38.02.04 Коммерция (по отраслям);</w:t>
      </w:r>
    </w:p>
    <w:p w:rsidR="00DC08D5" w:rsidRDefault="00DC08D5" w:rsidP="00A13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-39.02.01 социальная работа.</w:t>
      </w:r>
    </w:p>
    <w:p w:rsidR="00DC08D5" w:rsidRDefault="00DC08D5" w:rsidP="00DC0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 внутри техникумовской олимпиады профессионального мастерства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методическая служба ГБПОУ УИЭТ. </w:t>
      </w:r>
    </w:p>
    <w:p w:rsidR="00DC08D5" w:rsidRDefault="00DC08D5" w:rsidP="00DC08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D5">
        <w:rPr>
          <w:rFonts w:ascii="Times New Roman" w:hAnsi="Times New Roman" w:cs="Times New Roman"/>
          <w:b/>
          <w:sz w:val="28"/>
          <w:szCs w:val="28"/>
        </w:rPr>
        <w:t xml:space="preserve">Участники внутри техникумовской олимпиады профессионального мастерства </w:t>
      </w:r>
    </w:p>
    <w:p w:rsidR="00DC08D5" w:rsidRDefault="00DC08D5" w:rsidP="00DC08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3DF0">
        <w:rPr>
          <w:rFonts w:ascii="Times New Roman" w:hAnsi="Times New Roman" w:cs="Times New Roman"/>
          <w:sz w:val="28"/>
          <w:szCs w:val="28"/>
        </w:rPr>
        <w:t xml:space="preserve">внутри техникумовскую олимпиаду профессионального мастерства приглашаются </w:t>
      </w:r>
      <w:proofErr w:type="gramStart"/>
      <w:r w:rsidR="006B3DF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6B3DF0">
        <w:rPr>
          <w:rFonts w:ascii="Times New Roman" w:hAnsi="Times New Roman" w:cs="Times New Roman"/>
          <w:sz w:val="28"/>
          <w:szCs w:val="28"/>
        </w:rPr>
        <w:t xml:space="preserve">, направленные преподавателями специальных дисциплин и </w:t>
      </w:r>
      <w:proofErr w:type="gramStart"/>
      <w:r w:rsidR="006B3DF0">
        <w:rPr>
          <w:rFonts w:ascii="Times New Roman" w:hAnsi="Times New Roman" w:cs="Times New Roman"/>
          <w:sz w:val="28"/>
          <w:szCs w:val="28"/>
        </w:rPr>
        <w:t>подавшими</w:t>
      </w:r>
      <w:proofErr w:type="gramEnd"/>
      <w:r w:rsidR="006B3DF0">
        <w:rPr>
          <w:rFonts w:ascii="Times New Roman" w:hAnsi="Times New Roman" w:cs="Times New Roman"/>
          <w:sz w:val="28"/>
          <w:szCs w:val="28"/>
        </w:rPr>
        <w:t xml:space="preserve"> список претендентов – до 05 апреля 2016г.</w:t>
      </w:r>
    </w:p>
    <w:p w:rsidR="006B3DF0" w:rsidRDefault="006B3DF0" w:rsidP="00DC08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претендентов подается в методический кабинет ГБПОУ УИЭТ в электронном виде.</w:t>
      </w:r>
    </w:p>
    <w:p w:rsidR="006B3DF0" w:rsidRDefault="006B3DF0" w:rsidP="006B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участию  во внутри техникумовской олимпиаде профессионального мастерства допускаются студенты в возрасте до 25 лет всех курсов по</w:t>
      </w:r>
      <w:r w:rsidR="006B7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профильным направлениям: 13.02.07 Электроснабжение (по отраслям), 35.01.24 Управляющий сельской усадьбой, 35.02.07 Механизация сельского хозяйства, 35.02.12 Садово-парковое и ландшафтное строительство, 35.02.08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Электрификация и автоматизация сельского хозяйства,  38.02.05 Товароведение и экспертиза качества потребительских товаров, 38.02.04 Коммерция (по отраслям), -39.02.01 социальная работа.</w:t>
      </w:r>
      <w:proofErr w:type="gramEnd"/>
    </w:p>
    <w:p w:rsidR="006B7680" w:rsidRDefault="006B7680" w:rsidP="006B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иметь российское гражданство.</w:t>
      </w:r>
    </w:p>
    <w:p w:rsidR="006B7680" w:rsidRDefault="006B7680" w:rsidP="006B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участник внутри техникумовской олимпиаде профессионального мастерства должен иметь при себе сп</w:t>
      </w:r>
      <w:r w:rsidR="006A718C">
        <w:rPr>
          <w:rFonts w:ascii="Times New Roman" w:hAnsi="Times New Roman" w:cs="Times New Roman"/>
          <w:sz w:val="28"/>
          <w:szCs w:val="28"/>
        </w:rPr>
        <w:t>ецодежду (халаты, комбинезоны)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инструменты,</w:t>
      </w:r>
      <w:r w:rsidR="006A718C">
        <w:rPr>
          <w:rFonts w:ascii="Times New Roman" w:hAnsi="Times New Roman" w:cs="Times New Roman"/>
          <w:sz w:val="28"/>
          <w:szCs w:val="28"/>
        </w:rPr>
        <w:t xml:space="preserve"> помещения, </w:t>
      </w:r>
      <w:r>
        <w:rPr>
          <w:rFonts w:ascii="Times New Roman" w:hAnsi="Times New Roman" w:cs="Times New Roman"/>
          <w:sz w:val="28"/>
          <w:szCs w:val="28"/>
        </w:rPr>
        <w:t xml:space="preserve"> которыми обеспечивает заместитель директора по административно хозяйственной части</w:t>
      </w:r>
      <w:r w:rsidR="006A718C">
        <w:rPr>
          <w:rFonts w:ascii="Times New Roman" w:hAnsi="Times New Roman" w:cs="Times New Roman"/>
          <w:sz w:val="28"/>
          <w:szCs w:val="28"/>
        </w:rPr>
        <w:t xml:space="preserve">, механик, заведующий лабораториями, </w:t>
      </w: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 w:rsidR="006A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18C" w:rsidRDefault="006A718C" w:rsidP="00A33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 хозяйственной части и преподаватель - организатор ОБЖ, преподаватель информатики обеспечивают безопасность проведения мероприятий: охрану общественного порядка, дежурство медицинского персонала, пожарной службы и других необходимых служб.</w:t>
      </w:r>
    </w:p>
    <w:p w:rsidR="00A33278" w:rsidRPr="00DC08D5" w:rsidRDefault="00A33278" w:rsidP="00A33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преподаватели по профильным направлениям, несут ответственность за поведение, жизнь и безопасность участников в период проведения олимпиады.</w:t>
      </w:r>
    </w:p>
    <w:p w:rsidR="00FA3048" w:rsidRDefault="00FA3048" w:rsidP="00FA3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оставляют за собой право снимать с участия во внутри техникумовской олимпиаде профессионального мастерства студентов, нарушающих дисциплину и правила проведения олимпиадных мероприятий.</w:t>
      </w:r>
    </w:p>
    <w:p w:rsidR="00242E0E" w:rsidRDefault="00242E0E" w:rsidP="006B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и фотосъемку мероприятия осуществляет руководитель центра «Коммуникативно-информационных технологий.</w:t>
      </w:r>
    </w:p>
    <w:p w:rsidR="002306D8" w:rsidRDefault="002306D8" w:rsidP="006B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результатов и з</w:t>
      </w:r>
      <w:r w:rsidR="00242E0E">
        <w:rPr>
          <w:rFonts w:ascii="Times New Roman" w:hAnsi="Times New Roman" w:cs="Times New Roman"/>
          <w:sz w:val="28"/>
          <w:szCs w:val="28"/>
        </w:rPr>
        <w:t xml:space="preserve">аполнение протоколов внутри техникумовской олимпиады профессионального мастерства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преподаватели по профильным направлениям, </w:t>
      </w:r>
      <w:r w:rsidR="00242E0E">
        <w:rPr>
          <w:rFonts w:ascii="Times New Roman" w:hAnsi="Times New Roman" w:cs="Times New Roman"/>
          <w:sz w:val="28"/>
          <w:szCs w:val="28"/>
        </w:rPr>
        <w:t>в день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олимпиады. </w:t>
      </w:r>
    </w:p>
    <w:p w:rsidR="00242E0E" w:rsidRDefault="002306D8" w:rsidP="006B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Студенческий совет информирует общественность с результатами олимпиад, выводит их на экран телевидения и стенд техникума. </w:t>
      </w:r>
    </w:p>
    <w:p w:rsidR="002306D8" w:rsidRDefault="00FA3048" w:rsidP="006B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размещает информацию о результатах</w:t>
      </w:r>
      <w:r w:rsidRPr="00FA3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 техникумовской олимпиады профессионального мастерства на сайте техникума.</w:t>
      </w:r>
    </w:p>
    <w:p w:rsidR="00A33278" w:rsidRDefault="00A33278" w:rsidP="006B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внутри техникумовской олимпиады профессионального мастерства (далее программа) предусматривает для обучающихся выполнение профессионального комплексного задания, нацеленного на демонстрацию знаний, умений, опыта в соответствии с видами профессиональной деятельности.</w:t>
      </w:r>
    </w:p>
    <w:p w:rsidR="003A5BDD" w:rsidRDefault="003A5BDD" w:rsidP="006B3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детализирована последовательность организационных и тематических блоков</w:t>
      </w:r>
      <w:r w:rsidRPr="003A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 техникумовской олимпиады профессионального мастерства, содержащая информацию о:</w:t>
      </w:r>
    </w:p>
    <w:p w:rsidR="003A5BDD" w:rsidRDefault="003A5BDD" w:rsidP="003A5B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A5BDD">
        <w:rPr>
          <w:rFonts w:ascii="Times New Roman" w:hAnsi="Times New Roman" w:cs="Times New Roman"/>
          <w:sz w:val="28"/>
          <w:szCs w:val="28"/>
        </w:rPr>
        <w:t>егистрации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(регистрационный лист);</w:t>
      </w:r>
    </w:p>
    <w:p w:rsidR="003A5BDD" w:rsidRDefault="00CC6229" w:rsidP="003A5B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A5BDD">
        <w:rPr>
          <w:rFonts w:ascii="Times New Roman" w:hAnsi="Times New Roman" w:cs="Times New Roman"/>
          <w:sz w:val="28"/>
          <w:szCs w:val="28"/>
        </w:rPr>
        <w:t>еремонии торжественного открытия олимпиады;</w:t>
      </w:r>
    </w:p>
    <w:p w:rsidR="003A5BDD" w:rsidRDefault="00CC6229" w:rsidP="003A5B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5BDD">
        <w:rPr>
          <w:rFonts w:ascii="Times New Roman" w:hAnsi="Times New Roman" w:cs="Times New Roman"/>
          <w:sz w:val="28"/>
          <w:szCs w:val="28"/>
        </w:rPr>
        <w:t xml:space="preserve">нструктивном </w:t>
      </w:r>
      <w:proofErr w:type="gramStart"/>
      <w:r w:rsidR="003A5BDD">
        <w:rPr>
          <w:rFonts w:ascii="Times New Roman" w:hAnsi="Times New Roman" w:cs="Times New Roman"/>
          <w:sz w:val="28"/>
          <w:szCs w:val="28"/>
        </w:rPr>
        <w:t>совещании</w:t>
      </w:r>
      <w:proofErr w:type="gramEnd"/>
      <w:r w:rsidR="003A5BDD">
        <w:rPr>
          <w:rFonts w:ascii="Times New Roman" w:hAnsi="Times New Roman" w:cs="Times New Roman"/>
          <w:sz w:val="28"/>
          <w:szCs w:val="28"/>
        </w:rPr>
        <w:t xml:space="preserve"> с участниками (инструктаж по технике безопасности и охрана труда);</w:t>
      </w:r>
    </w:p>
    <w:p w:rsidR="00CC6229" w:rsidRDefault="00CC6229" w:rsidP="003A5B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рабочими местами, техническим оснащением (оборудованием, инструментами);</w:t>
      </w:r>
    </w:p>
    <w:p w:rsidR="00CC6229" w:rsidRDefault="00CC6229" w:rsidP="003A5B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условиями дисквалификации по решению жюри (при несоблюдении условий  внутри техникумовской олимпиады профессионального мастерства, грубых нарушениях технологии выполнения работ, правил безопасности труда);</w:t>
      </w:r>
    </w:p>
    <w:p w:rsidR="003A5BDD" w:rsidRDefault="00CC6229" w:rsidP="003A5B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их продолжительности, местах проведения и ответственных лицах; </w:t>
      </w:r>
    </w:p>
    <w:p w:rsidR="004901FB" w:rsidRDefault="004901FB" w:rsidP="003A5B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 и церемонии закрытия олимпиады.</w:t>
      </w:r>
    </w:p>
    <w:p w:rsidR="004901FB" w:rsidRDefault="004901FB" w:rsidP="0049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день открытия внутри техникумовской олимпиады профессионального мастерства для участников проводится:</w:t>
      </w:r>
    </w:p>
    <w:p w:rsidR="004901FB" w:rsidRDefault="004901FB" w:rsidP="0049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 – торжественное открытие олимпиады в актовом зале ГБПОУ УИЭТ;</w:t>
      </w:r>
    </w:p>
    <w:p w:rsidR="004901FB" w:rsidRDefault="004901FB" w:rsidP="0049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12.50-16.00 – выполнение конкурсных заданий олимпиады.</w:t>
      </w:r>
    </w:p>
    <w:p w:rsidR="004901FB" w:rsidRDefault="004901FB" w:rsidP="004901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FB">
        <w:rPr>
          <w:rFonts w:ascii="Times New Roman" w:hAnsi="Times New Roman" w:cs="Times New Roman"/>
          <w:b/>
          <w:sz w:val="28"/>
          <w:szCs w:val="28"/>
        </w:rPr>
        <w:t>Выполнение профессионального комплексного задания внутри техникумовской олимпиады профессионального мастерства</w:t>
      </w:r>
    </w:p>
    <w:p w:rsidR="004901FB" w:rsidRDefault="004901FB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Внутри техникумовская олимпиада профессионального мастерства включает выполнение профессионального комплексного задания, содержание которого соответствует Федеральным государственным образовательным стандартам среднего профессионального образования по профильным направлениям: 13.02.07 Электроснабжение (по отраслям), 35.01.24 Управляющий сельской усадьбой, 35.02.07 Механизация сельского хозяйства, 35.02.12 Садово-парковое и ландшафтное строительство, 35.02.08 Электрификация и автоматизация сельского хозяйства,  38.02.05 Товароведение и экспертиза качества потребительских товаров, 38.02.04 Коммерция (по отраслям), -39.02.01 социальная работа.</w:t>
      </w:r>
      <w:proofErr w:type="gramEnd"/>
    </w:p>
    <w:p w:rsidR="004901FB" w:rsidRDefault="004901FB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задания утверждены руководителями методических объединений</w:t>
      </w:r>
      <w:r w:rsidR="003C0CEF">
        <w:rPr>
          <w:rFonts w:ascii="Times New Roman" w:hAnsi="Times New Roman" w:cs="Times New Roman"/>
          <w:sz w:val="28"/>
          <w:szCs w:val="28"/>
        </w:rPr>
        <w:t>.</w:t>
      </w:r>
    </w:p>
    <w:p w:rsidR="003C0CEF" w:rsidRDefault="003C0CEF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комплексное задание выполняется в два этапа и оценивается 150 баллами.</w:t>
      </w:r>
    </w:p>
    <w:p w:rsidR="003C0CEF" w:rsidRDefault="003C0CEF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85">
        <w:rPr>
          <w:rFonts w:ascii="Times New Roman" w:hAnsi="Times New Roman" w:cs="Times New Roman"/>
          <w:b/>
          <w:sz w:val="28"/>
          <w:szCs w:val="28"/>
        </w:rPr>
        <w:t>Задание 1 этапа</w:t>
      </w:r>
      <w:r>
        <w:rPr>
          <w:rFonts w:ascii="Times New Roman" w:hAnsi="Times New Roman" w:cs="Times New Roman"/>
          <w:sz w:val="28"/>
          <w:szCs w:val="28"/>
        </w:rPr>
        <w:t xml:space="preserve"> состоит из теоретических вопросов, объединенных в тестовое задание, выполняемое на компьютере.</w:t>
      </w:r>
    </w:p>
    <w:p w:rsidR="003C0CEF" w:rsidRDefault="003C0CEF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Тестовое задание включает в себя </w:t>
      </w:r>
      <w:r w:rsidRPr="003C0CEF">
        <w:rPr>
          <w:rFonts w:ascii="Times New Roman" w:hAnsi="Times New Roman" w:cs="Times New Roman"/>
          <w:b/>
          <w:sz w:val="28"/>
          <w:szCs w:val="28"/>
        </w:rPr>
        <w:t>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вопросы по темам:</w:t>
      </w:r>
    </w:p>
    <w:p w:rsidR="003C0CEF" w:rsidRDefault="003C0CEF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деятельности;</w:t>
      </w:r>
    </w:p>
    <w:p w:rsidR="003C0CEF" w:rsidRDefault="003C0CEF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материалы, инструменты;</w:t>
      </w:r>
    </w:p>
    <w:p w:rsidR="003C0CEF" w:rsidRDefault="003C0CEF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качества, стандартизации и сертификации;</w:t>
      </w:r>
    </w:p>
    <w:p w:rsidR="003C0CEF" w:rsidRDefault="003C0CEF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Охрана труда и безопасность жизнедеятельности, безопасность окружающей среды;</w:t>
      </w:r>
    </w:p>
    <w:p w:rsidR="003C0CEF" w:rsidRDefault="003C0CEF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 правовое обеспечение профессиональной деятельности;</w:t>
      </w:r>
    </w:p>
    <w:p w:rsidR="003C0CEF" w:rsidRDefault="00EC1285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Электротехника и экономика;</w:t>
      </w:r>
    </w:p>
    <w:p w:rsidR="00EC1285" w:rsidRDefault="00EC1285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Измерительная техника;</w:t>
      </w:r>
    </w:p>
    <w:p w:rsidR="00EC1285" w:rsidRDefault="00EC1285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Электробезопасность и другие темы предусмотренные ОПОП.</w:t>
      </w:r>
    </w:p>
    <w:p w:rsidR="00EC1285" w:rsidRDefault="00EC1285" w:rsidP="00490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тестовое задание состоит из </w:t>
      </w:r>
      <w:r w:rsidRPr="009A5802">
        <w:rPr>
          <w:rFonts w:ascii="Times New Roman" w:hAnsi="Times New Roman" w:cs="Times New Roman"/>
          <w:b/>
          <w:sz w:val="28"/>
          <w:szCs w:val="28"/>
        </w:rPr>
        <w:t>100 вопросов</w:t>
      </w:r>
      <w:r>
        <w:rPr>
          <w:rFonts w:ascii="Times New Roman" w:hAnsi="Times New Roman" w:cs="Times New Roman"/>
          <w:sz w:val="28"/>
          <w:szCs w:val="28"/>
        </w:rPr>
        <w:t xml:space="preserve"> и оценивается </w:t>
      </w:r>
      <w:r w:rsidRPr="009A5802">
        <w:rPr>
          <w:rFonts w:ascii="Times New Roman" w:hAnsi="Times New Roman" w:cs="Times New Roman"/>
          <w:b/>
          <w:sz w:val="28"/>
          <w:szCs w:val="28"/>
        </w:rPr>
        <w:t>100 баллами</w:t>
      </w:r>
      <w:r>
        <w:rPr>
          <w:rFonts w:ascii="Times New Roman" w:hAnsi="Times New Roman" w:cs="Times New Roman"/>
          <w:sz w:val="28"/>
          <w:szCs w:val="28"/>
        </w:rPr>
        <w:t xml:space="preserve">. Время выполнения тестового задания – </w:t>
      </w:r>
      <w:r w:rsidRPr="009A5802">
        <w:rPr>
          <w:rFonts w:ascii="Times New Roman" w:hAnsi="Times New Roman" w:cs="Times New Roman"/>
          <w:b/>
          <w:sz w:val="28"/>
          <w:szCs w:val="28"/>
        </w:rPr>
        <w:t>1 час 30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1307B" w:rsidRPr="00A1307B" w:rsidRDefault="00EC1285" w:rsidP="009A5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85">
        <w:rPr>
          <w:rFonts w:ascii="Times New Roman" w:hAnsi="Times New Roman" w:cs="Times New Roman"/>
          <w:b/>
          <w:sz w:val="28"/>
          <w:szCs w:val="28"/>
        </w:rPr>
        <w:t>Задание 2 этапа</w:t>
      </w:r>
      <w:r>
        <w:rPr>
          <w:rFonts w:ascii="Times New Roman" w:hAnsi="Times New Roman" w:cs="Times New Roman"/>
          <w:sz w:val="28"/>
          <w:szCs w:val="28"/>
        </w:rPr>
        <w:t xml:space="preserve"> состоит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практических  заданий, разработанных ответственными преподавателями</w:t>
      </w:r>
      <w:r w:rsidR="009A5802">
        <w:rPr>
          <w:rFonts w:ascii="Times New Roman" w:hAnsi="Times New Roman" w:cs="Times New Roman"/>
          <w:sz w:val="28"/>
          <w:szCs w:val="28"/>
        </w:rPr>
        <w:t xml:space="preserve"> и состоит</w:t>
      </w:r>
      <w:proofErr w:type="gramEnd"/>
      <w:r w:rsidR="009A5802">
        <w:rPr>
          <w:rFonts w:ascii="Times New Roman" w:hAnsi="Times New Roman" w:cs="Times New Roman"/>
          <w:sz w:val="28"/>
          <w:szCs w:val="28"/>
        </w:rPr>
        <w:t xml:space="preserve"> из нескольких заданий и оценивается </w:t>
      </w:r>
      <w:r w:rsidR="009A5802" w:rsidRPr="009A5802">
        <w:rPr>
          <w:rFonts w:ascii="Times New Roman" w:hAnsi="Times New Roman" w:cs="Times New Roman"/>
          <w:b/>
          <w:sz w:val="28"/>
          <w:szCs w:val="28"/>
        </w:rPr>
        <w:t>50 баллами</w:t>
      </w:r>
      <w:r w:rsidR="009A5802">
        <w:rPr>
          <w:rFonts w:ascii="Times New Roman" w:hAnsi="Times New Roman" w:cs="Times New Roman"/>
          <w:sz w:val="28"/>
          <w:szCs w:val="28"/>
        </w:rPr>
        <w:t xml:space="preserve">. Время выполнения практического  задания – </w:t>
      </w:r>
      <w:r w:rsidR="009A5802" w:rsidRPr="009A5802">
        <w:rPr>
          <w:rFonts w:ascii="Times New Roman" w:hAnsi="Times New Roman" w:cs="Times New Roman"/>
          <w:b/>
          <w:sz w:val="28"/>
          <w:szCs w:val="28"/>
        </w:rPr>
        <w:t>до 90 минут.</w:t>
      </w:r>
    </w:p>
    <w:sectPr w:rsidR="00A1307B" w:rsidRPr="00A1307B" w:rsidSect="009A5802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85" w:rsidRDefault="00DE7385" w:rsidP="009A5802">
      <w:pPr>
        <w:spacing w:after="0" w:line="240" w:lineRule="auto"/>
      </w:pPr>
      <w:r>
        <w:separator/>
      </w:r>
    </w:p>
  </w:endnote>
  <w:endnote w:type="continuationSeparator" w:id="0">
    <w:p w:rsidR="00DE7385" w:rsidRDefault="00DE7385" w:rsidP="009A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044252"/>
      <w:docPartObj>
        <w:docPartGallery w:val="Page Numbers (Bottom of Page)"/>
        <w:docPartUnique/>
      </w:docPartObj>
    </w:sdtPr>
    <w:sdtEndPr/>
    <w:sdtContent>
      <w:p w:rsidR="009A5802" w:rsidRDefault="009A58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F20">
          <w:rPr>
            <w:noProof/>
          </w:rPr>
          <w:t>1</w:t>
        </w:r>
        <w:r>
          <w:fldChar w:fldCharType="end"/>
        </w:r>
      </w:p>
    </w:sdtContent>
  </w:sdt>
  <w:p w:rsidR="009A5802" w:rsidRDefault="009A58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85" w:rsidRDefault="00DE7385" w:rsidP="009A5802">
      <w:pPr>
        <w:spacing w:after="0" w:line="240" w:lineRule="auto"/>
      </w:pPr>
      <w:r>
        <w:separator/>
      </w:r>
    </w:p>
  </w:footnote>
  <w:footnote w:type="continuationSeparator" w:id="0">
    <w:p w:rsidR="00DE7385" w:rsidRDefault="00DE7385" w:rsidP="009A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6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5245"/>
      <w:gridCol w:w="1843"/>
      <w:gridCol w:w="1417"/>
    </w:tblGrid>
    <w:tr w:rsidR="007326F1" w:rsidRPr="007326F1" w:rsidTr="007326F1">
      <w:trPr>
        <w:cantSplit/>
        <w:trHeight w:val="455"/>
      </w:trPr>
      <w:tc>
        <w:tcPr>
          <w:tcW w:w="9781" w:type="dxa"/>
          <w:gridSpan w:val="4"/>
        </w:tcPr>
        <w:p w:rsidR="007326F1" w:rsidRPr="007326F1" w:rsidRDefault="007326F1" w:rsidP="007326F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7326F1">
            <w:rPr>
              <w:rFonts w:ascii="Times New Roman" w:eastAsia="Calibri" w:hAnsi="Times New Roman" w:cs="Times New Roman"/>
              <w:sz w:val="28"/>
              <w:szCs w:val="28"/>
            </w:rPr>
            <w:t>Министерство образования Нижегородской области</w:t>
          </w:r>
        </w:p>
      </w:tc>
    </w:tr>
    <w:tr w:rsidR="007326F1" w:rsidRPr="007326F1" w:rsidTr="007326F1">
      <w:trPr>
        <w:cantSplit/>
        <w:trHeight w:val="620"/>
      </w:trPr>
      <w:tc>
        <w:tcPr>
          <w:tcW w:w="1276" w:type="dxa"/>
        </w:tcPr>
        <w:p w:rsidR="007326F1" w:rsidRPr="007326F1" w:rsidRDefault="007326F1" w:rsidP="007326F1">
          <w:pPr>
            <w:keepNext/>
            <w:keepLines/>
            <w:spacing w:after="0" w:line="240" w:lineRule="auto"/>
            <w:outlineLvl w:val="0"/>
            <w:rPr>
              <w:rFonts w:ascii="Cambria" w:eastAsia="Times New Roman" w:hAnsi="Cambria" w:cs="Times New Roman"/>
              <w:b/>
              <w:color w:val="365F91"/>
              <w:sz w:val="24"/>
              <w:szCs w:val="24"/>
              <w:lang w:eastAsia="ru-RU"/>
            </w:rPr>
          </w:pPr>
          <w:r w:rsidRPr="007326F1">
            <w:rPr>
              <w:rFonts w:ascii="Cambria" w:eastAsia="Times New Roman" w:hAnsi="Cambria" w:cs="Times New Roman"/>
              <w:bCs/>
              <w:i/>
              <w:noProof/>
              <w:color w:val="365F91"/>
              <w:sz w:val="32"/>
              <w:szCs w:val="32"/>
              <w:lang w:eastAsia="ru-RU"/>
            </w:rPr>
            <w:drawing>
              <wp:inline distT="0" distB="0" distL="0" distR="0" wp14:anchorId="6547A82F" wp14:editId="090BF54F">
                <wp:extent cx="605790" cy="605790"/>
                <wp:effectExtent l="0" t="0" r="3810" b="0"/>
                <wp:docPr id="1" name="Рисунок 1" descr="C:\Users\УИЭТ\Desktop\БАНЕР\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УИЭТ\Desktop\БАНЕР\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7326F1" w:rsidRPr="007326F1" w:rsidRDefault="007326F1" w:rsidP="007326F1">
          <w:pPr>
            <w:keepNext/>
            <w:keepLines/>
            <w:spacing w:after="0" w:line="240" w:lineRule="auto"/>
            <w:jc w:val="center"/>
            <w:outlineLvl w:val="0"/>
            <w:rPr>
              <w:rFonts w:ascii="Cambria" w:eastAsia="Times New Roman" w:hAnsi="Cambria" w:cs="Times New Roman"/>
              <w:sz w:val="24"/>
              <w:szCs w:val="24"/>
              <w:lang w:eastAsia="ru-RU"/>
            </w:rPr>
          </w:pPr>
          <w:r w:rsidRPr="007326F1">
            <w:rPr>
              <w:rFonts w:ascii="Cambria" w:eastAsia="Times New Roman" w:hAnsi="Cambria" w:cs="Times New Roman"/>
              <w:sz w:val="24"/>
              <w:szCs w:val="24"/>
              <w:lang w:eastAsia="ru-RU"/>
            </w:rPr>
            <w:t xml:space="preserve">ГБПОУ </w:t>
          </w:r>
        </w:p>
        <w:p w:rsidR="007326F1" w:rsidRPr="007326F1" w:rsidRDefault="007326F1" w:rsidP="007326F1">
          <w:pPr>
            <w:keepNext/>
            <w:keepLines/>
            <w:spacing w:after="0" w:line="240" w:lineRule="auto"/>
            <w:jc w:val="center"/>
            <w:outlineLvl w:val="0"/>
            <w:rPr>
              <w:rFonts w:ascii="Cambria" w:eastAsia="Times New Roman" w:hAnsi="Cambria" w:cs="Times New Roman"/>
              <w:b/>
              <w:color w:val="365F91"/>
              <w:sz w:val="24"/>
              <w:szCs w:val="24"/>
              <w:lang w:eastAsia="ru-RU"/>
            </w:rPr>
          </w:pPr>
          <w:r w:rsidRPr="007326F1">
            <w:rPr>
              <w:rFonts w:ascii="Cambria" w:eastAsia="Times New Roman" w:hAnsi="Cambria" w:cs="Times New Roman"/>
              <w:sz w:val="24"/>
              <w:szCs w:val="24"/>
              <w:lang w:eastAsia="ru-RU"/>
            </w:rPr>
            <w:t>«</w:t>
          </w:r>
          <w:proofErr w:type="spellStart"/>
          <w:r w:rsidRPr="007326F1">
            <w:rPr>
              <w:rFonts w:ascii="Cambria" w:eastAsia="Times New Roman" w:hAnsi="Cambria" w:cs="Times New Roman"/>
              <w:sz w:val="24"/>
              <w:szCs w:val="24"/>
              <w:lang w:eastAsia="ru-RU"/>
            </w:rPr>
            <w:t>Уренский</w:t>
          </w:r>
          <w:proofErr w:type="spellEnd"/>
          <w:r w:rsidRPr="007326F1">
            <w:rPr>
              <w:rFonts w:ascii="Cambria" w:eastAsia="Times New Roman" w:hAnsi="Cambria" w:cs="Times New Roman"/>
              <w:sz w:val="24"/>
              <w:szCs w:val="24"/>
              <w:lang w:eastAsia="ru-RU"/>
            </w:rPr>
            <w:t xml:space="preserve"> индустриально-энергетический техникум»</w:t>
          </w:r>
        </w:p>
      </w:tc>
      <w:tc>
        <w:tcPr>
          <w:tcW w:w="1843" w:type="dxa"/>
        </w:tcPr>
        <w:p w:rsidR="007326F1" w:rsidRPr="007326F1" w:rsidRDefault="007326F1" w:rsidP="007326F1">
          <w:pPr>
            <w:spacing w:after="0" w:line="240" w:lineRule="auto"/>
            <w:outlineLvl w:val="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7326F1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Дата внедрения</w:t>
          </w:r>
        </w:p>
        <w:p w:rsidR="007326F1" w:rsidRPr="007326F1" w:rsidRDefault="007326F1" w:rsidP="007326F1">
          <w:pPr>
            <w:spacing w:after="0" w:line="240" w:lineRule="auto"/>
            <w:outlineLvl w:val="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17</w:t>
          </w:r>
          <w:r w:rsidRPr="007326F1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.0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3</w:t>
          </w:r>
          <w:r w:rsidRPr="007326F1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.201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6</w:t>
          </w:r>
          <w:r w:rsidRPr="007326F1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г.</w:t>
          </w:r>
        </w:p>
        <w:p w:rsidR="007326F1" w:rsidRPr="007326F1" w:rsidRDefault="007326F1" w:rsidP="007326F1">
          <w:pPr>
            <w:spacing w:after="0" w:line="240" w:lineRule="auto"/>
            <w:outlineLvl w:val="1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326F1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Редакция </w:t>
          </w:r>
          <w:r w:rsidRPr="007326F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№    </w:t>
          </w:r>
        </w:p>
        <w:p w:rsidR="007326F1" w:rsidRPr="007326F1" w:rsidRDefault="007326F1" w:rsidP="007326F1">
          <w:pPr>
            <w:spacing w:after="0" w:line="240" w:lineRule="auto"/>
            <w:outlineLvl w:val="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7326F1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Изменение </w:t>
          </w:r>
          <w:r w:rsidRPr="007326F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№  </w:t>
          </w:r>
        </w:p>
      </w:tc>
      <w:tc>
        <w:tcPr>
          <w:tcW w:w="1417" w:type="dxa"/>
        </w:tcPr>
        <w:p w:rsidR="007326F1" w:rsidRPr="007326F1" w:rsidRDefault="007326F1" w:rsidP="007326F1">
          <w:pPr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t xml:space="preserve">Лист </w:t>
          </w: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fldChar w:fldCharType="begin"/>
          </w: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instrText xml:space="preserve"> PAGE </w:instrText>
          </w: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fldChar w:fldCharType="separate"/>
          </w:r>
          <w:r w:rsidR="00027F20">
            <w:rPr>
              <w:rFonts w:ascii="Times New Roman" w:eastAsia="Calibri" w:hAnsi="Times New Roman" w:cs="Times New Roman"/>
              <w:noProof/>
              <w:sz w:val="20"/>
              <w:szCs w:val="20"/>
            </w:rPr>
            <w:t>1</w:t>
          </w: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fldChar w:fldCharType="end"/>
          </w: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t xml:space="preserve"> из </w:t>
          </w: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fldChar w:fldCharType="begin"/>
          </w: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instrText xml:space="preserve"> NUMPAGES </w:instrText>
          </w: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fldChar w:fldCharType="separate"/>
          </w:r>
          <w:r w:rsidR="00027F20">
            <w:rPr>
              <w:rFonts w:ascii="Times New Roman" w:eastAsia="Calibri" w:hAnsi="Times New Roman" w:cs="Times New Roman"/>
              <w:noProof/>
              <w:sz w:val="20"/>
              <w:szCs w:val="20"/>
            </w:rPr>
            <w:t>5</w:t>
          </w: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fldChar w:fldCharType="end"/>
          </w:r>
        </w:p>
        <w:p w:rsidR="007326F1" w:rsidRPr="007326F1" w:rsidRDefault="007326F1" w:rsidP="007326F1">
          <w:pPr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</w:p>
        <w:p w:rsidR="007326F1" w:rsidRPr="007326F1" w:rsidRDefault="007326F1" w:rsidP="007326F1">
          <w:pPr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</w:p>
        <w:p w:rsidR="007326F1" w:rsidRPr="007326F1" w:rsidRDefault="007326F1" w:rsidP="007326F1">
          <w:pPr>
            <w:spacing w:after="0" w:line="240" w:lineRule="auto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326F1">
            <w:rPr>
              <w:rFonts w:ascii="Times New Roman" w:eastAsia="Calibri" w:hAnsi="Times New Roman" w:cs="Times New Roman"/>
              <w:sz w:val="20"/>
              <w:szCs w:val="20"/>
            </w:rPr>
            <w:t>Экз. Контр.</w:t>
          </w:r>
        </w:p>
      </w:tc>
    </w:tr>
  </w:tbl>
  <w:p w:rsidR="007326F1" w:rsidRDefault="007326F1">
    <w:pPr>
      <w:pStyle w:val="a4"/>
    </w:pPr>
  </w:p>
  <w:p w:rsidR="007326F1" w:rsidRDefault="007326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58C"/>
    <w:multiLevelType w:val="hybridMultilevel"/>
    <w:tmpl w:val="C45A2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B2"/>
    <w:rsid w:val="00027F20"/>
    <w:rsid w:val="002306D8"/>
    <w:rsid w:val="00242E0E"/>
    <w:rsid w:val="00291D5E"/>
    <w:rsid w:val="003267BC"/>
    <w:rsid w:val="003A5BDD"/>
    <w:rsid w:val="003C0CEF"/>
    <w:rsid w:val="003F01B1"/>
    <w:rsid w:val="004901FB"/>
    <w:rsid w:val="006A718C"/>
    <w:rsid w:val="006B3DF0"/>
    <w:rsid w:val="006B7680"/>
    <w:rsid w:val="007230B2"/>
    <w:rsid w:val="007326F1"/>
    <w:rsid w:val="00981E74"/>
    <w:rsid w:val="009A5802"/>
    <w:rsid w:val="00A1307B"/>
    <w:rsid w:val="00A33278"/>
    <w:rsid w:val="00CC6229"/>
    <w:rsid w:val="00D55CB2"/>
    <w:rsid w:val="00DC08D5"/>
    <w:rsid w:val="00DE7385"/>
    <w:rsid w:val="00EC1285"/>
    <w:rsid w:val="00F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802"/>
  </w:style>
  <w:style w:type="paragraph" w:styleId="a6">
    <w:name w:val="footer"/>
    <w:basedOn w:val="a"/>
    <w:link w:val="a7"/>
    <w:uiPriority w:val="99"/>
    <w:unhideWhenUsed/>
    <w:rsid w:val="009A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802"/>
  </w:style>
  <w:style w:type="paragraph" w:styleId="a8">
    <w:name w:val="Balloon Text"/>
    <w:basedOn w:val="a"/>
    <w:link w:val="a9"/>
    <w:uiPriority w:val="99"/>
    <w:semiHidden/>
    <w:unhideWhenUsed/>
    <w:rsid w:val="009A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802"/>
  </w:style>
  <w:style w:type="paragraph" w:styleId="a6">
    <w:name w:val="footer"/>
    <w:basedOn w:val="a"/>
    <w:link w:val="a7"/>
    <w:uiPriority w:val="99"/>
    <w:unhideWhenUsed/>
    <w:rsid w:val="009A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802"/>
  </w:style>
  <w:style w:type="paragraph" w:styleId="a8">
    <w:name w:val="Balloon Text"/>
    <w:basedOn w:val="a"/>
    <w:link w:val="a9"/>
    <w:uiPriority w:val="99"/>
    <w:semiHidden/>
    <w:unhideWhenUsed/>
    <w:rsid w:val="009A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EF"/>
    <w:rsid w:val="002663EF"/>
    <w:rsid w:val="0079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FEE1428041431CB5345874AE3D40E8">
    <w:name w:val="D7FEE1428041431CB5345874AE3D40E8"/>
    <w:rsid w:val="002663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FEE1428041431CB5345874AE3D40E8">
    <w:name w:val="D7FEE1428041431CB5345874AE3D40E8"/>
    <w:rsid w:val="00266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</cp:lastModifiedBy>
  <cp:revision>9</cp:revision>
  <cp:lastPrinted>2016-04-15T09:01:00Z</cp:lastPrinted>
  <dcterms:created xsi:type="dcterms:W3CDTF">2016-04-15T06:19:00Z</dcterms:created>
  <dcterms:modified xsi:type="dcterms:W3CDTF">2016-04-18T11:33:00Z</dcterms:modified>
</cp:coreProperties>
</file>